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4E2A" w14:textId="77777777" w:rsidR="00DF236A" w:rsidRPr="00D15F29" w:rsidRDefault="00DF236A" w:rsidP="00DF236A">
      <w:pPr>
        <w:shd w:val="clear" w:color="auto" w:fill="FFFFFF"/>
        <w:spacing w:after="0" w:line="276" w:lineRule="auto"/>
        <w:textAlignment w:val="baseline"/>
        <w:outlineLvl w:val="2"/>
        <w:rPr>
          <w:rFonts w:ascii="Century Gothic" w:eastAsia="Times New Roman" w:hAnsi="Century Gothic" w:cs="Arial"/>
          <w:b/>
          <w:bCs/>
          <w:color w:val="9B2743"/>
          <w:sz w:val="36"/>
          <w:szCs w:val="36"/>
          <w:lang w:bidi="hi-IN"/>
        </w:rPr>
      </w:pPr>
    </w:p>
    <w:p w14:paraId="55D28CB6" w14:textId="2DBF8879" w:rsidR="00A46F41" w:rsidRPr="00D15F29" w:rsidRDefault="00A46F41" w:rsidP="00DF236A">
      <w:pPr>
        <w:shd w:val="clear" w:color="auto" w:fill="FFFFFF"/>
        <w:spacing w:after="0" w:line="276" w:lineRule="auto"/>
        <w:textAlignment w:val="baseline"/>
        <w:outlineLvl w:val="2"/>
        <w:rPr>
          <w:rFonts w:ascii="Century Gothic" w:eastAsia="Times New Roman" w:hAnsi="Century Gothic" w:cs="Arial"/>
          <w:b/>
          <w:bCs/>
          <w:color w:val="9B2743"/>
          <w:sz w:val="36"/>
          <w:szCs w:val="36"/>
          <w:lang w:bidi="hi-IN"/>
        </w:rPr>
      </w:pPr>
      <w:r w:rsidRPr="00D15F29">
        <w:rPr>
          <w:rFonts w:ascii="Century Gothic" w:eastAsia="Times New Roman" w:hAnsi="Century Gothic" w:cs="Arial"/>
          <w:b/>
          <w:bCs/>
          <w:color w:val="9B2743"/>
          <w:sz w:val="36"/>
          <w:szCs w:val="36"/>
          <w:lang w:bidi="hi-IN"/>
        </w:rPr>
        <w:t>What Households Can Expect</w:t>
      </w:r>
      <w:r w:rsidR="00C62A0E">
        <w:rPr>
          <w:rFonts w:ascii="Century Gothic" w:eastAsia="Times New Roman" w:hAnsi="Century Gothic" w:cs="Arial"/>
          <w:b/>
          <w:bCs/>
          <w:color w:val="9B2743"/>
          <w:sz w:val="36"/>
          <w:szCs w:val="36"/>
          <w:lang w:bidi="hi-IN"/>
        </w:rPr>
        <w:t xml:space="preserve"> When Census Workers Come to a Home</w:t>
      </w:r>
    </w:p>
    <w:p w14:paraId="096D17C2" w14:textId="31290270" w:rsidR="00A46F41" w:rsidRDefault="00A46F41" w:rsidP="00DF236A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bidi="hi-IN"/>
        </w:rPr>
      </w:pP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The Census Bureau will provide face masks to census takers and requires that census takers wear a mask while conducting their work. They will follow CDC and local public health guidelines when they visit. Census takers must complete a virtual COVID-19 training on social distancing protocols and other health and safety guidance before beginning their work in neighborhoods.</w:t>
      </w:r>
    </w:p>
    <w:p w14:paraId="1A1AC977" w14:textId="7D570D67" w:rsidR="006B5ED7" w:rsidRPr="00D15F29" w:rsidRDefault="00F16E1C" w:rsidP="006B5ED7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  <w:lang w:bidi="hi-IN"/>
        </w:rPr>
      </w:pP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People are encouraged to cooperate with census takers and ensure that everyone who was living in their household as of April 1, 2020, is counted.</w:t>
      </w:r>
      <w:r w:rsidRPr="006B5ED7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</w:t>
      </w:r>
      <w:r w:rsidR="00F84897">
        <w:rPr>
          <w:rFonts w:ascii="Arial" w:hAnsi="Arial" w:cs="Arial"/>
          <w:color w:val="333333"/>
          <w:sz w:val="27"/>
          <w:szCs w:val="27"/>
        </w:rPr>
        <w:t xml:space="preserve">Census takers are hired from the area, and their goal is to help ensure everyone in a home is counted in the 2020 Census. </w:t>
      </w:r>
      <w:r w:rsidR="00067CFC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The workers will be collecting household information on their hand-held device (iPhone).</w:t>
      </w:r>
      <w:r w:rsidR="00067CFC" w:rsidRPr="006B5ED7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</w:t>
      </w:r>
      <w:r w:rsidR="00A46F41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All census takers speak English, and many are bilingual. If a census taker does not speak the household</w:t>
      </w:r>
      <w:r w:rsidR="00F84897">
        <w:rPr>
          <w:rFonts w:ascii="Arial" w:eastAsia="Times New Roman" w:hAnsi="Arial" w:cs="Arial"/>
          <w:color w:val="333333"/>
          <w:sz w:val="28"/>
          <w:szCs w:val="28"/>
          <w:lang w:bidi="hi-IN"/>
        </w:rPr>
        <w:t>’</w:t>
      </w:r>
      <w:r w:rsidR="00A46F41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s language, the household may request a return visit from a census taker who does. Census takers will also have materials on hand to help identify the household’s language.</w:t>
      </w:r>
      <w:r w:rsidR="0044674B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If the </w:t>
      </w:r>
      <w:r w:rsidR="006B5ED7">
        <w:rPr>
          <w:rFonts w:ascii="Arial" w:eastAsia="Times New Roman" w:hAnsi="Arial" w:cs="Arial"/>
          <w:color w:val="333333"/>
          <w:sz w:val="28"/>
          <w:szCs w:val="28"/>
          <w:lang w:bidi="hi-IN"/>
        </w:rPr>
        <w:t>household</w:t>
      </w:r>
      <w:r w:rsidR="006B5ED7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</w:t>
      </w:r>
      <w:r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needs language assistance they </w:t>
      </w:r>
      <w:r w:rsidR="006B5ED7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will be encouraged to call </w:t>
      </w:r>
      <w:r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the Census </w:t>
      </w:r>
      <w:r w:rsidR="006B5ED7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phone lines that are staffed with speakers in </w:t>
      </w:r>
      <w:r w:rsidR="00067CFC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English and </w:t>
      </w:r>
      <w:r w:rsidR="006B5ED7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12 </w:t>
      </w:r>
      <w:r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other </w:t>
      </w:r>
      <w:r w:rsidR="006B5ED7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languages. </w:t>
      </w:r>
      <w:r w:rsidR="00067CFC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</w:t>
      </w:r>
      <w:r w:rsidR="006B5ED7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Anyone 16 years or older may answer the questions for the residence.  A younger child may help translate for </w:t>
      </w:r>
      <w:r w:rsidR="00C62A0E">
        <w:rPr>
          <w:rFonts w:ascii="Arial" w:eastAsia="Times New Roman" w:hAnsi="Arial" w:cs="Arial"/>
          <w:color w:val="333333"/>
          <w:sz w:val="28"/>
          <w:szCs w:val="28"/>
          <w:lang w:bidi="hi-IN"/>
        </w:rPr>
        <w:t>an older member of the household</w:t>
      </w:r>
      <w:r w:rsidR="006B5ED7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.</w:t>
      </w:r>
    </w:p>
    <w:p w14:paraId="59E5AE75" w14:textId="101A96F8" w:rsidR="006B5ED7" w:rsidRDefault="00A46F41" w:rsidP="006B5ED7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  <w:lang w:bidi="hi-IN"/>
        </w:rPr>
      </w:pP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If no one is home when the census taker visits, the census taker will leave a </w:t>
      </w:r>
      <w:r w:rsidR="00C62A0E">
        <w:rPr>
          <w:rFonts w:ascii="Arial" w:eastAsia="Times New Roman" w:hAnsi="Arial" w:cs="Arial"/>
          <w:color w:val="333333"/>
          <w:sz w:val="28"/>
          <w:szCs w:val="28"/>
          <w:lang w:bidi="hi-IN"/>
        </w:rPr>
        <w:t>N</w:t>
      </w: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otice of </w:t>
      </w:r>
      <w:r w:rsidR="00C62A0E">
        <w:rPr>
          <w:rFonts w:ascii="Arial" w:eastAsia="Times New Roman" w:hAnsi="Arial" w:cs="Arial"/>
          <w:color w:val="333333"/>
          <w:sz w:val="28"/>
          <w:szCs w:val="28"/>
          <w:lang w:bidi="hi-IN"/>
        </w:rPr>
        <w:t>V</w:t>
      </w: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isit with information about how to respond online</w:t>
      </w:r>
      <w:r w:rsidR="0044674B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or </w:t>
      </w: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by phone</w:t>
      </w:r>
      <w:r w:rsidR="0044674B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.</w:t>
      </w:r>
      <w:r w:rsidR="00F16E1C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</w:t>
      </w:r>
      <w:r w:rsidR="006B5ED7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If the household responds online or by phone </w:t>
      </w:r>
      <w:r w:rsidR="00F16E1C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after receiving the Notice of Visit, </w:t>
      </w:r>
      <w:r w:rsidR="006B5ED7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a census taker is less likely to have to visit the home again to collect a response.</w:t>
      </w:r>
    </w:p>
    <w:p w14:paraId="7C3F98BE" w14:textId="2ED3B1AD" w:rsidR="00067CFC" w:rsidRDefault="00067CFC">
      <w:r>
        <w:br w:type="page"/>
      </w:r>
    </w:p>
    <w:p w14:paraId="0A540F0B" w14:textId="77777777" w:rsidR="00067CFC" w:rsidRDefault="00067CFC"/>
    <w:tbl>
      <w:tblPr>
        <w:tblW w:w="8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5940"/>
      </w:tblGrid>
      <w:tr w:rsidR="00067CFC" w:rsidRPr="008C4868" w14:paraId="4FE4F821" w14:textId="77777777" w:rsidTr="00067CFC">
        <w:trPr>
          <w:trHeight w:val="300"/>
        </w:trPr>
        <w:tc>
          <w:tcPr>
            <w:tcW w:w="8995" w:type="dxa"/>
            <w:gridSpan w:val="2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vAlign w:val="bottom"/>
            <w:hideMark/>
          </w:tcPr>
          <w:p w14:paraId="0C526478" w14:textId="221E3763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633D4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bdr w:val="none" w:sz="0" w:space="0" w:color="auto" w:frame="1"/>
                <w:shd w:val="clear" w:color="auto" w:fill="FFFFFF"/>
              </w:rPr>
              <w:t>Phone lines are open every day from 6 a.m. to 1 a.m. Central Time</w:t>
            </w:r>
          </w:p>
        </w:tc>
      </w:tr>
      <w:tr w:rsidR="00067CFC" w:rsidRPr="008C4868" w14:paraId="4E5C9D59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vAlign w:val="bottom"/>
          </w:tcPr>
          <w:p w14:paraId="1E0FEE18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b/>
                <w:bCs/>
                <w:color w:val="000000"/>
                <w:lang w:bidi="hi-IN"/>
              </w:rPr>
              <w:t>LANGUAGE 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vAlign w:val="bottom"/>
          </w:tcPr>
          <w:p w14:paraId="642DDBF8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bidi="hi-IN"/>
              </w:rPr>
            </w:pPr>
            <w:r w:rsidRPr="008C486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shd w:val="clear" w:color="auto" w:fill="FFFFFF"/>
                <w:lang w:bidi="hi-IN"/>
              </w:rPr>
              <w:t>LINE TOLL-FREE NUMBER</w:t>
            </w:r>
          </w:p>
        </w:tc>
      </w:tr>
      <w:tr w:rsidR="00067CFC" w:rsidRPr="008C4868" w14:paraId="4A335E74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520D3A85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English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608ADC54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844-330-</w:t>
            </w:r>
            <w:proofErr w:type="gramStart"/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Prompts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</w:tr>
      <w:tr w:rsidR="00067CFC" w:rsidRPr="008C4868" w14:paraId="28AEE70F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2FBB5D1C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Spanish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41EFD443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844-468-</w:t>
            </w:r>
            <w:proofErr w:type="gramStart"/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Prompts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</w:t>
            </w:r>
          </w:p>
        </w:tc>
      </w:tr>
      <w:tr w:rsidR="00067CFC" w:rsidRPr="008C4868" w14:paraId="1B6D0176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58E2E052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Chinese (Mandarin)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12C49AA2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844-391-2020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Direct Answer by a Representative </w:t>
            </w:r>
          </w:p>
        </w:tc>
      </w:tr>
      <w:tr w:rsidR="00067CFC" w:rsidRPr="008C4868" w14:paraId="533BD26C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3FDDBFB8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Chinese (Cantonese)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3910C3FF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844-398-2020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Direct Answer by a Representative </w:t>
            </w:r>
          </w:p>
        </w:tc>
      </w:tr>
      <w:tr w:rsidR="00067CFC" w:rsidRPr="008C4868" w14:paraId="25FA0802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39044955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Vietnamese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747E2262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844-461-2020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Direct Answer by a Representative</w:t>
            </w:r>
          </w:p>
        </w:tc>
      </w:tr>
      <w:tr w:rsidR="00067CFC" w:rsidRPr="008C4868" w14:paraId="47A141A6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0411F8B1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Korean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407E481C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844-392-2020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Direct Answer by a Representative</w:t>
            </w:r>
          </w:p>
        </w:tc>
      </w:tr>
      <w:tr w:rsidR="00067CFC" w:rsidRPr="008C4868" w14:paraId="07AF9C91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1060513A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Russian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5A18E254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844-417-2020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Direct Answer by a Representative </w:t>
            </w:r>
          </w:p>
        </w:tc>
      </w:tr>
      <w:tr w:rsidR="00067CFC" w:rsidRPr="008C4868" w14:paraId="0F2328A7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7716174D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Arabic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2588E0C2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844-416-2020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Direct Answer by a Representative</w:t>
            </w:r>
          </w:p>
        </w:tc>
      </w:tr>
      <w:tr w:rsidR="00067CFC" w:rsidRPr="008C4868" w14:paraId="465AE0AA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52DB4EA8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Tagalog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42656184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844-478-2020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Direct Answer by a Representative</w:t>
            </w:r>
          </w:p>
        </w:tc>
      </w:tr>
      <w:tr w:rsidR="00067CFC" w:rsidRPr="008C4868" w14:paraId="2BC702A3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2769C030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Polish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1EFEB088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844-479-2020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Direct Answer by a Representative</w:t>
            </w:r>
          </w:p>
        </w:tc>
      </w:tr>
      <w:tr w:rsidR="00067CFC" w:rsidRPr="008C4868" w14:paraId="68357DEE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0CBCE7A8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French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460FD399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844-494-2020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Direct Answer by a Representative</w:t>
            </w:r>
          </w:p>
        </w:tc>
      </w:tr>
      <w:tr w:rsidR="00067CFC" w:rsidRPr="008C4868" w14:paraId="5B359DAE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672CFC22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Haitian Creole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43D19B0A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844-477-2020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Direct Answer by a Representative</w:t>
            </w:r>
          </w:p>
        </w:tc>
      </w:tr>
      <w:tr w:rsidR="00067CFC" w:rsidRPr="008C4868" w14:paraId="36A5F0C4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32EF0E41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Portuguese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180298A0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844-474-2020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Direct Answer by a Representative </w:t>
            </w:r>
          </w:p>
        </w:tc>
      </w:tr>
      <w:tr w:rsidR="00067CFC" w:rsidRPr="008C4868" w14:paraId="6423B5D1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1712635A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Japanese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vAlign w:val="bottom"/>
            <w:hideMark/>
          </w:tcPr>
          <w:p w14:paraId="377A267F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844-460-2020</w:t>
            </w:r>
            <w:r>
              <w:rPr>
                <w:rFonts w:ascii="Calibri" w:eastAsia="Times New Roman" w:hAnsi="Calibri" w:cs="Calibri"/>
                <w:color w:val="000000"/>
                <w:lang w:bidi="hi-IN"/>
              </w:rPr>
              <w:t xml:space="preserve">   Direct Answer by a Representative</w:t>
            </w:r>
          </w:p>
        </w:tc>
      </w:tr>
      <w:tr w:rsidR="00067CFC" w:rsidRPr="008C4868" w14:paraId="70A96B4C" w14:textId="77777777" w:rsidTr="00067CFC">
        <w:trPr>
          <w:trHeight w:val="300"/>
        </w:trPr>
        <w:tc>
          <w:tcPr>
            <w:tcW w:w="3055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49031168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Telephone Display Device (TDD)</w:t>
            </w:r>
          </w:p>
        </w:tc>
        <w:tc>
          <w:tcPr>
            <w:tcW w:w="59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E2EFDA"/>
            <w:vAlign w:val="bottom"/>
            <w:hideMark/>
          </w:tcPr>
          <w:p w14:paraId="15BF8DA3" w14:textId="77777777" w:rsidR="00067CFC" w:rsidRPr="008C4868" w:rsidRDefault="00067CFC" w:rsidP="00067C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hi-IN"/>
              </w:rPr>
            </w:pPr>
            <w:r w:rsidRPr="008C4868">
              <w:rPr>
                <w:rFonts w:ascii="Calibri" w:eastAsia="Times New Roman" w:hAnsi="Calibri" w:cs="Calibri"/>
                <w:color w:val="000000"/>
                <w:lang w:bidi="hi-IN"/>
              </w:rPr>
              <w:t>844-467-2020</w:t>
            </w:r>
          </w:p>
        </w:tc>
      </w:tr>
    </w:tbl>
    <w:p w14:paraId="4740B6AC" w14:textId="5B62A17C" w:rsidR="00A46F41" w:rsidRPr="00D15F29" w:rsidRDefault="00A46F41" w:rsidP="00DF236A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bidi="hi-IN"/>
        </w:rPr>
      </w:pPr>
    </w:p>
    <w:p w14:paraId="18ACCA9D" w14:textId="77777777" w:rsidR="00A46F41" w:rsidRPr="00D15F29" w:rsidRDefault="00A46F41" w:rsidP="00DF236A">
      <w:pPr>
        <w:spacing w:after="0" w:line="276" w:lineRule="auto"/>
        <w:outlineLvl w:val="1"/>
        <w:rPr>
          <w:rFonts w:ascii="Century Gothic" w:eastAsia="Times New Roman" w:hAnsi="Century Gothic" w:cs="Arial"/>
          <w:b/>
          <w:bCs/>
          <w:color w:val="9B2743"/>
          <w:sz w:val="36"/>
          <w:szCs w:val="36"/>
          <w:lang w:bidi="hi-IN"/>
        </w:rPr>
      </w:pPr>
      <w:r w:rsidRPr="00D15F29">
        <w:rPr>
          <w:rFonts w:ascii="Century Gothic" w:eastAsia="Times New Roman" w:hAnsi="Century Gothic" w:cs="Arial"/>
          <w:b/>
          <w:bCs/>
          <w:color w:val="9B2743"/>
          <w:sz w:val="36"/>
          <w:szCs w:val="36"/>
          <w:lang w:bidi="hi-IN"/>
        </w:rPr>
        <w:t>How to Identify Census Takers</w:t>
      </w:r>
    </w:p>
    <w:p w14:paraId="37E5B29E" w14:textId="61D82C2D" w:rsidR="00A46F41" w:rsidRDefault="00A46F41" w:rsidP="00DF236A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bidi="hi-IN"/>
        </w:rPr>
      </w:pP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Census takers can be</w:t>
      </w:r>
      <w:r w:rsidR="00F84897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</w:t>
      </w:r>
      <w:hyperlink r:id="rId7" w:tgtFrame="_blank" w:history="1">
        <w:r w:rsidRPr="00D15F29">
          <w:rPr>
            <w:rFonts w:ascii="Arial" w:eastAsia="Times New Roman" w:hAnsi="Arial" w:cs="Arial"/>
            <w:color w:val="333333"/>
            <w:sz w:val="28"/>
            <w:szCs w:val="28"/>
            <w:lang w:bidi="hi-IN"/>
          </w:rPr>
          <w:t>easily identified</w:t>
        </w:r>
      </w:hyperlink>
      <w:r w:rsidR="00F84897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</w:t>
      </w: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by a valid government ID badge with their photograph, a U.S. Department of Commerce watermark, and an expiration date on the badge. To confirm a census taker’s identity, the public may contact their</w:t>
      </w:r>
      <w:r w:rsidR="00F84897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</w:t>
      </w:r>
      <w:hyperlink r:id="rId8" w:tgtFrame="_blank" w:history="1">
        <w:r w:rsidRPr="00D15F29">
          <w:rPr>
            <w:rFonts w:ascii="Arial" w:eastAsia="Times New Roman" w:hAnsi="Arial" w:cs="Arial"/>
            <w:color w:val="333333"/>
            <w:sz w:val="28"/>
            <w:szCs w:val="28"/>
            <w:lang w:bidi="hi-IN"/>
          </w:rPr>
          <w:t>regional census center</w:t>
        </w:r>
      </w:hyperlink>
      <w:r w:rsidR="00F84897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</w:t>
      </w: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to speak with a Census Bureau representative.</w:t>
      </w:r>
      <w:r w:rsidR="00F84897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 For the Chicago Region</w:t>
      </w:r>
      <w:r w:rsidR="00092388">
        <w:rPr>
          <w:rFonts w:ascii="Arial" w:eastAsia="Times New Roman" w:hAnsi="Arial" w:cs="Arial"/>
          <w:color w:val="333333"/>
          <w:sz w:val="28"/>
          <w:szCs w:val="28"/>
          <w:lang w:bidi="hi-IN"/>
        </w:rPr>
        <w:t>, 312-579-1500.</w:t>
      </w:r>
    </w:p>
    <w:p w14:paraId="69052E21" w14:textId="55D1E0A0" w:rsidR="00067CFC" w:rsidRDefault="00067CFC">
      <w:pPr>
        <w:rPr>
          <w:rFonts w:ascii="Arial" w:eastAsia="Times New Roman" w:hAnsi="Arial" w:cs="Arial"/>
          <w:color w:val="333333"/>
          <w:sz w:val="28"/>
          <w:szCs w:val="28"/>
          <w:lang w:bidi="hi-IN"/>
        </w:rPr>
      </w:pPr>
      <w:r>
        <w:rPr>
          <w:rFonts w:ascii="Arial" w:eastAsia="Times New Roman" w:hAnsi="Arial" w:cs="Arial"/>
          <w:color w:val="333333"/>
          <w:sz w:val="28"/>
          <w:szCs w:val="28"/>
          <w:lang w:bidi="hi-IN"/>
        </w:rPr>
        <w:br w:type="page"/>
      </w:r>
    </w:p>
    <w:p w14:paraId="6FA34CD6" w14:textId="77777777" w:rsidR="006B5ED7" w:rsidRPr="00D15F29" w:rsidRDefault="006B5ED7" w:rsidP="00DF236A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333333"/>
          <w:sz w:val="28"/>
          <w:szCs w:val="28"/>
          <w:lang w:bidi="hi-IN"/>
        </w:rPr>
      </w:pPr>
    </w:p>
    <w:p w14:paraId="03EBFB3D" w14:textId="04B62EE3" w:rsidR="00DF236A" w:rsidRPr="00D15F29" w:rsidRDefault="00A46F41" w:rsidP="006B5ED7">
      <w:pPr>
        <w:spacing w:after="0" w:line="276" w:lineRule="auto"/>
        <w:outlineLvl w:val="1"/>
        <w:rPr>
          <w:rFonts w:ascii="Century Gothic" w:eastAsia="Times New Roman" w:hAnsi="Century Gothic" w:cs="Arial"/>
          <w:b/>
          <w:bCs/>
          <w:color w:val="9B2743"/>
          <w:sz w:val="36"/>
          <w:szCs w:val="36"/>
          <w:lang w:bidi="hi-IN"/>
        </w:rPr>
      </w:pPr>
      <w:r w:rsidRPr="00D15F29">
        <w:rPr>
          <w:rFonts w:ascii="Century Gothic" w:eastAsia="Times New Roman" w:hAnsi="Century Gothic" w:cs="Arial"/>
          <w:b/>
          <w:bCs/>
          <w:color w:val="9B2743"/>
          <w:sz w:val="36"/>
          <w:szCs w:val="36"/>
          <w:lang w:bidi="hi-IN"/>
        </w:rPr>
        <w:t>How Can You Verify That Someone Is a Census Taker?</w:t>
      </w:r>
    </w:p>
    <w:p w14:paraId="3D59CC58" w14:textId="0103F4D2" w:rsidR="00A46F41" w:rsidRPr="00D15F29" w:rsidRDefault="00A46F41" w:rsidP="006B5ED7">
      <w:pPr>
        <w:spacing w:after="100" w:afterAutospacing="1" w:line="276" w:lineRule="auto"/>
        <w:outlineLvl w:val="1"/>
        <w:rPr>
          <w:rFonts w:ascii="Arial" w:eastAsia="Times New Roman" w:hAnsi="Arial" w:cs="Arial"/>
          <w:color w:val="333333"/>
          <w:sz w:val="28"/>
          <w:szCs w:val="28"/>
          <w:lang w:bidi="hi-IN"/>
        </w:rPr>
      </w:pPr>
      <w:r w:rsidRPr="00D15F29">
        <w:rPr>
          <w:rFonts w:ascii="Arial" w:eastAsia="Times New Roman" w:hAnsi="Arial" w:cs="Arial"/>
          <w:noProof/>
          <w:color w:val="333333"/>
          <w:sz w:val="28"/>
          <w:szCs w:val="28"/>
          <w:lang w:bidi="hi-IN"/>
        </w:rPr>
        <w:drawing>
          <wp:anchor distT="0" distB="0" distL="114300" distR="114300" simplePos="0" relativeHeight="251658240" behindDoc="1" locked="0" layoutInCell="1" allowOverlap="1" wp14:anchorId="7E225033" wp14:editId="64F662F4">
            <wp:simplePos x="0" y="0"/>
            <wp:positionH relativeFrom="column">
              <wp:posOffset>2466975</wp:posOffset>
            </wp:positionH>
            <wp:positionV relativeFrom="paragraph">
              <wp:posOffset>904875</wp:posOffset>
            </wp:positionV>
            <wp:extent cx="3676015" cy="3495675"/>
            <wp:effectExtent l="0" t="0" r="635" b="9525"/>
            <wp:wrapTight wrapText="bothSides">
              <wp:wrapPolygon edited="0">
                <wp:start x="0" y="0"/>
                <wp:lineTo x="0" y="21541"/>
                <wp:lineTo x="21492" y="21541"/>
                <wp:lineTo x="21492" y="0"/>
                <wp:lineTo x="0" y="0"/>
              </wp:wrapPolygon>
            </wp:wrapTight>
            <wp:docPr id="2" name="Picture 2" descr="A laptop, laptop bag, confidentiality notices, and an &quot;Official Business&quot; notice for vehic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laptop, laptop bag, confidentiality notices, and an &quot;Official Business&quot; notice for vehicl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If someone visits </w:t>
      </w:r>
      <w:r w:rsidR="00DF236A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a</w:t>
      </w: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home this year to collect information for the 2020 Census, </w:t>
      </w:r>
      <w:r w:rsidR="00DF236A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the resident should </w:t>
      </w: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check to make sure the</w:t>
      </w:r>
      <w:r w:rsidR="00DF236A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worker </w:t>
      </w: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ha</w:t>
      </w:r>
      <w:r w:rsidR="00DF236A"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s</w:t>
      </w: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a valid ID badge with their photograph, a U.S. Department of Commerce watermark,</w:t>
      </w:r>
      <w:r w:rsidR="00092388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a</w:t>
      </w: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nd an expiration date. Census workers may also carry Census Bureau bags and other equipment with the Census Bureau logo.</w:t>
      </w:r>
    </w:p>
    <w:p w14:paraId="39013385" w14:textId="65E96CB8" w:rsidR="00A46F41" w:rsidRPr="00D15F29" w:rsidRDefault="00A46F41" w:rsidP="00DF236A">
      <w:pPr>
        <w:spacing w:line="276" w:lineRule="auto"/>
        <w:rPr>
          <w:rFonts w:ascii="Arial" w:eastAsia="Times New Roman" w:hAnsi="Arial" w:cs="Arial"/>
          <w:color w:val="4D4D4D"/>
          <w:sz w:val="28"/>
          <w:szCs w:val="28"/>
          <w:lang w:bidi="hi-IN"/>
        </w:rPr>
      </w:pPr>
      <w:r w:rsidRPr="00D15F29">
        <w:rPr>
          <w:rFonts w:ascii="Arial" w:eastAsia="Times New Roman" w:hAnsi="Arial" w:cs="Arial"/>
          <w:color w:val="4D4D4D"/>
          <w:sz w:val="28"/>
          <w:szCs w:val="28"/>
          <w:lang w:bidi="hi-IN"/>
        </w:rPr>
        <w:t>A look at some of the items that a census taker may carry with them, including, laptop bag, confidentiality notices, and an "Official Business" notice for their vehicle.</w:t>
      </w:r>
    </w:p>
    <w:p w14:paraId="1C82F0AD" w14:textId="77777777" w:rsidR="00A46F41" w:rsidRPr="00D15F29" w:rsidRDefault="00A46F41" w:rsidP="00DF236A">
      <w:pPr>
        <w:spacing w:after="0" w:line="276" w:lineRule="auto"/>
        <w:outlineLvl w:val="1"/>
        <w:rPr>
          <w:rFonts w:ascii="Century Gothic" w:eastAsia="Times New Roman" w:hAnsi="Century Gothic" w:cs="Times New Roman"/>
          <w:b/>
          <w:bCs/>
          <w:color w:val="9B2743"/>
          <w:sz w:val="36"/>
          <w:szCs w:val="36"/>
          <w:lang w:bidi="hi-IN"/>
        </w:rPr>
      </w:pPr>
      <w:r w:rsidRPr="00D15F29">
        <w:rPr>
          <w:rFonts w:ascii="Century Gothic" w:eastAsia="Times New Roman" w:hAnsi="Century Gothic" w:cs="Times New Roman"/>
          <w:b/>
          <w:bCs/>
          <w:color w:val="9B2743"/>
          <w:sz w:val="36"/>
          <w:szCs w:val="36"/>
          <w:lang w:bidi="hi-IN"/>
        </w:rPr>
        <w:t>Staying Safe at Home</w:t>
      </w:r>
    </w:p>
    <w:p w14:paraId="6657E0CE" w14:textId="77777777" w:rsidR="00A46F41" w:rsidRPr="00D15F29" w:rsidRDefault="00A46F41" w:rsidP="00DF236A">
      <w:pPr>
        <w:spacing w:after="0" w:line="276" w:lineRule="auto"/>
        <w:rPr>
          <w:rFonts w:ascii="Arial" w:eastAsia="Times New Roman" w:hAnsi="Arial" w:cs="Arial"/>
          <w:color w:val="333333"/>
          <w:sz w:val="28"/>
          <w:szCs w:val="28"/>
          <w:lang w:bidi="hi-IN"/>
        </w:rPr>
      </w:pP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If someone visits your home to collect a response for the 2020 Census, you can do the following to verify their identity:</w:t>
      </w:r>
    </w:p>
    <w:p w14:paraId="5458355F" w14:textId="77777777" w:rsidR="00A46F41" w:rsidRPr="00D15F29" w:rsidRDefault="00A46F41" w:rsidP="00DF236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  <w:lang w:bidi="hi-IN"/>
        </w:rPr>
      </w:pP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First, check to make sure that they have a valid ID badge, with their photograph, a U.S. Department of Commerce watermark, and an expiration date.</w:t>
      </w:r>
    </w:p>
    <w:p w14:paraId="570464FD" w14:textId="15F008A9" w:rsidR="00A46F41" w:rsidRPr="00D15F29" w:rsidRDefault="00A46F41" w:rsidP="00DF236A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333333"/>
          <w:sz w:val="28"/>
          <w:szCs w:val="28"/>
          <w:lang w:bidi="hi-IN"/>
        </w:rPr>
      </w:pP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If you still have questions about their identity, you can call </w:t>
      </w:r>
      <w:hyperlink r:id="rId10" w:history="1">
        <w:r w:rsidRPr="00D15F29">
          <w:rPr>
            <w:rFonts w:ascii="Arial" w:eastAsia="Times New Roman" w:hAnsi="Arial" w:cs="Arial"/>
            <w:color w:val="333333"/>
            <w:sz w:val="28"/>
            <w:szCs w:val="28"/>
            <w:u w:val="single"/>
            <w:lang w:bidi="hi-IN"/>
          </w:rPr>
          <w:t>844-330-2020</w:t>
        </w:r>
      </w:hyperlink>
      <w:r w:rsidR="00067CFC">
        <w:rPr>
          <w:rFonts w:ascii="Arial" w:eastAsia="Times New Roman" w:hAnsi="Arial" w:cs="Arial"/>
          <w:color w:val="333333"/>
          <w:sz w:val="28"/>
          <w:szCs w:val="28"/>
          <w:lang w:bidi="hi-IN"/>
        </w:rPr>
        <w:t xml:space="preserve"> </w:t>
      </w:r>
      <w:r w:rsidRPr="00D15F29">
        <w:rPr>
          <w:rFonts w:ascii="Arial" w:eastAsia="Times New Roman" w:hAnsi="Arial" w:cs="Arial"/>
          <w:color w:val="333333"/>
          <w:sz w:val="28"/>
          <w:szCs w:val="28"/>
          <w:lang w:bidi="hi-IN"/>
        </w:rPr>
        <w:t>to speak with a Census Bureau representative.</w:t>
      </w:r>
    </w:p>
    <w:sectPr w:rsidR="00A46F41" w:rsidRPr="00D15F29" w:rsidSect="00067CFC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15E7" w14:textId="77777777" w:rsidR="00F16E1C" w:rsidRDefault="00F16E1C" w:rsidP="00A46F41">
      <w:pPr>
        <w:spacing w:after="0" w:line="240" w:lineRule="auto"/>
      </w:pPr>
      <w:r>
        <w:separator/>
      </w:r>
    </w:p>
  </w:endnote>
  <w:endnote w:type="continuationSeparator" w:id="0">
    <w:p w14:paraId="1475504C" w14:textId="77777777" w:rsidR="00F16E1C" w:rsidRDefault="00F16E1C" w:rsidP="00A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0F5E4" w14:textId="77777777" w:rsidR="00F16E1C" w:rsidRDefault="00F16E1C" w:rsidP="00A46F41">
      <w:pPr>
        <w:spacing w:after="0" w:line="240" w:lineRule="auto"/>
      </w:pPr>
      <w:r>
        <w:separator/>
      </w:r>
    </w:p>
  </w:footnote>
  <w:footnote w:type="continuationSeparator" w:id="0">
    <w:p w14:paraId="63A08DBD" w14:textId="77777777" w:rsidR="00F16E1C" w:rsidRDefault="00F16E1C" w:rsidP="00A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6E2B" w14:textId="62454108" w:rsidR="00F16E1C" w:rsidRDefault="00F16E1C" w:rsidP="00A46F41">
    <w:pPr>
      <w:pStyle w:val="Header"/>
      <w:jc w:val="center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12479F1E" wp14:editId="55DCE429">
          <wp:simplePos x="0" y="0"/>
          <wp:positionH relativeFrom="column">
            <wp:posOffset>-295275</wp:posOffset>
          </wp:positionH>
          <wp:positionV relativeFrom="paragraph">
            <wp:posOffset>9525</wp:posOffset>
          </wp:positionV>
          <wp:extent cx="1342505" cy="971550"/>
          <wp:effectExtent l="0" t="0" r="0" b="0"/>
          <wp:wrapTight wrapText="bothSides">
            <wp:wrapPolygon edited="0">
              <wp:start x="0" y="0"/>
              <wp:lineTo x="0" y="21176"/>
              <wp:lineTo x="21150" y="21176"/>
              <wp:lineTo x="21150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50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6F41">
      <w:rPr>
        <w:sz w:val="44"/>
        <w:szCs w:val="44"/>
      </w:rPr>
      <w:t>Non-Response Follow-up (NRFU)</w:t>
    </w:r>
  </w:p>
  <w:p w14:paraId="03F17644" w14:textId="4E95C221" w:rsidR="00F16E1C" w:rsidRDefault="00F16E1C" w:rsidP="00A46F41">
    <w:pPr>
      <w:pStyle w:val="Header"/>
      <w:jc w:val="center"/>
      <w:rPr>
        <w:sz w:val="44"/>
        <w:szCs w:val="44"/>
      </w:rPr>
    </w:pPr>
    <w:r w:rsidRPr="00A46F41">
      <w:rPr>
        <w:sz w:val="44"/>
        <w:szCs w:val="44"/>
      </w:rPr>
      <w:t>to Begin July 30, 2020</w:t>
    </w:r>
  </w:p>
  <w:p w14:paraId="213D4EE2" w14:textId="7F47100F" w:rsidR="00F16E1C" w:rsidRPr="00A46F41" w:rsidRDefault="00F16E1C" w:rsidP="00A46F41">
    <w:pPr>
      <w:pStyle w:val="Header"/>
      <w:jc w:val="center"/>
      <w:rPr>
        <w:sz w:val="44"/>
        <w:szCs w:val="44"/>
      </w:rPr>
    </w:pPr>
    <w:r w:rsidRPr="00A46F41">
      <w:rPr>
        <w:sz w:val="44"/>
        <w:szCs w:val="44"/>
      </w:rPr>
      <w:t>in select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C5B35"/>
    <w:multiLevelType w:val="multilevel"/>
    <w:tmpl w:val="796E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41"/>
    <w:rsid w:val="00067CFC"/>
    <w:rsid w:val="00092388"/>
    <w:rsid w:val="003E4554"/>
    <w:rsid w:val="0044674B"/>
    <w:rsid w:val="005858F0"/>
    <w:rsid w:val="006B5ED7"/>
    <w:rsid w:val="00A46F41"/>
    <w:rsid w:val="00BE4FCA"/>
    <w:rsid w:val="00C62A0E"/>
    <w:rsid w:val="00D15F29"/>
    <w:rsid w:val="00DF236A"/>
    <w:rsid w:val="00F16E1C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5739BC"/>
  <w15:chartTrackingRefBased/>
  <w15:docId w15:val="{CA254111-D6C3-4037-A84B-3C8AED41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F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F41"/>
  </w:style>
  <w:style w:type="paragraph" w:styleId="Footer">
    <w:name w:val="footer"/>
    <w:basedOn w:val="Normal"/>
    <w:link w:val="FooterChar"/>
    <w:uiPriority w:val="99"/>
    <w:unhideWhenUsed/>
    <w:rsid w:val="00A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5116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4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6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42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0census.gov/en/contact-us/rcc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2020census.gov/en/census-taker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tel:844-330-20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J Riley (CENSUS/CG FED)</dc:creator>
  <cp:keywords/>
  <dc:description/>
  <cp:lastModifiedBy>Brandon C Crouch (CENSUS/CG FED)</cp:lastModifiedBy>
  <cp:revision>2</cp:revision>
  <dcterms:created xsi:type="dcterms:W3CDTF">2020-07-28T16:52:00Z</dcterms:created>
  <dcterms:modified xsi:type="dcterms:W3CDTF">2020-07-28T16:52:00Z</dcterms:modified>
</cp:coreProperties>
</file>